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Eskilstuna kommunfullmäktige</w:t>
      </w:r>
    </w:p>
    <w:p>
      <w:pPr>
        <w:pStyle w:val="Heading1"/>
      </w:pPr>
      <w:r>
        <w:t xml:space="preserve">Stärk tidig läsundervisning med fler speciallärare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Eskilstuna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Läsförståelsen bland Eskilstunas elever ligger under rikssnittet. Tidiga insatser med speciallärare ger bäst effekt enligt Skolverkets forskning.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Eskilstuna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12 nya speciallärare i läs- och skrivutveckling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årskurs 1–3 i alla kommunala 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6 mnkr årligen i budgeten.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läsresultat via nationella prov.</w:t>
      </w:r>
    </w:p>
    <w:p>
      <w:pPr>
        <w:spacing w:before="360"/>
      </w:pPr>
    </w:p>
    <w:p>
      <w:r>
        <w:t xml:space="preserve">Eskilstuna,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Eskilstuna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2026-07-14T02:48:06.600Z</dcterms:created>
  <dcterms:modified xsi:type="dcterms:W3CDTF">2026-07-14T02:48:06.600Z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